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58" w:rsidRPr="004F6792" w:rsidRDefault="00FB0A58" w:rsidP="0032211D">
      <w:pPr>
        <w:ind w:right="-142"/>
        <w:jc w:val="both"/>
        <w:rPr>
          <w:sz w:val="20"/>
        </w:rPr>
      </w:pPr>
      <w:r w:rsidRPr="004F6792">
        <w:rPr>
          <w:sz w:val="20"/>
        </w:rPr>
        <w:t>Prudnickie Centrum Medyczne S. A. w Prudniku</w:t>
      </w:r>
      <w:r w:rsidR="00A85D72">
        <w:rPr>
          <w:sz w:val="20"/>
        </w:rPr>
        <w:tab/>
      </w:r>
      <w:r w:rsidR="00A85D72">
        <w:rPr>
          <w:sz w:val="20"/>
        </w:rPr>
        <w:tab/>
      </w:r>
      <w:r w:rsidR="00A85D72">
        <w:rPr>
          <w:sz w:val="20"/>
        </w:rPr>
        <w:tab/>
      </w:r>
      <w:r w:rsidR="00A85D72">
        <w:rPr>
          <w:sz w:val="20"/>
        </w:rPr>
        <w:tab/>
      </w:r>
      <w:r w:rsidR="00A85D72">
        <w:rPr>
          <w:sz w:val="20"/>
        </w:rPr>
        <w:tab/>
        <w:t>Prudnik, 27</w:t>
      </w:r>
      <w:r>
        <w:rPr>
          <w:sz w:val="20"/>
        </w:rPr>
        <w:t>.12.2017r.</w:t>
      </w:r>
    </w:p>
    <w:p w:rsidR="00FB0A58" w:rsidRPr="004F6792" w:rsidRDefault="00FB0A58" w:rsidP="0032211D">
      <w:pPr>
        <w:ind w:right="-142"/>
        <w:jc w:val="both"/>
        <w:rPr>
          <w:sz w:val="20"/>
        </w:rPr>
      </w:pPr>
      <w:r w:rsidRPr="004F6792">
        <w:rPr>
          <w:sz w:val="20"/>
        </w:rPr>
        <w:t>Ul. Szpitalna 14, 48-200 Prudnik</w:t>
      </w:r>
    </w:p>
    <w:p w:rsidR="00FB0A58" w:rsidRPr="004F6792" w:rsidRDefault="00FB0A58" w:rsidP="0032211D">
      <w:pPr>
        <w:ind w:right="-142"/>
        <w:jc w:val="both"/>
        <w:rPr>
          <w:sz w:val="20"/>
        </w:rPr>
      </w:pPr>
      <w:r w:rsidRPr="004F6792">
        <w:rPr>
          <w:sz w:val="20"/>
        </w:rPr>
        <w:t>Tel. 77 4067890</w:t>
      </w:r>
    </w:p>
    <w:p w:rsidR="00FB0A58" w:rsidRDefault="00FB0A58" w:rsidP="0032211D">
      <w:pPr>
        <w:ind w:right="-142"/>
        <w:jc w:val="both"/>
        <w:rPr>
          <w:sz w:val="20"/>
        </w:rPr>
      </w:pPr>
      <w:r w:rsidRPr="004F6792">
        <w:rPr>
          <w:sz w:val="20"/>
        </w:rPr>
        <w:t>NIP: 755-18-39-682, REGON: 532448467</w:t>
      </w:r>
    </w:p>
    <w:p w:rsidR="00FB0A58" w:rsidRDefault="00FB0A58" w:rsidP="0032211D">
      <w:pPr>
        <w:ind w:right="-142"/>
        <w:jc w:val="both"/>
        <w:rPr>
          <w:b/>
        </w:rPr>
      </w:pPr>
    </w:p>
    <w:p w:rsidR="00FB0A58" w:rsidRPr="00184102" w:rsidRDefault="00FB0A58" w:rsidP="0032211D">
      <w:pPr>
        <w:ind w:right="-142"/>
        <w:jc w:val="both"/>
        <w:rPr>
          <w:b/>
        </w:rPr>
      </w:pPr>
    </w:p>
    <w:p w:rsidR="00FB0A58" w:rsidRDefault="00FB0A58" w:rsidP="0032211D">
      <w:pPr>
        <w:ind w:left="2481" w:right="-142" w:firstLine="351"/>
        <w:jc w:val="both"/>
        <w:rPr>
          <w:b/>
        </w:rPr>
      </w:pPr>
      <w:r w:rsidRPr="00184102">
        <w:rPr>
          <w:b/>
        </w:rPr>
        <w:t>Wyjaśnienia do zaproszenia do składania ofert</w:t>
      </w:r>
    </w:p>
    <w:p w:rsidR="00FB0A58" w:rsidRDefault="00FB0A58" w:rsidP="0032211D">
      <w:pPr>
        <w:ind w:left="2481" w:right="-142" w:firstLine="351"/>
        <w:jc w:val="both"/>
        <w:rPr>
          <w:b/>
        </w:rPr>
      </w:pPr>
    </w:p>
    <w:p w:rsidR="00FB0A58" w:rsidRPr="003E2D05" w:rsidRDefault="00FB0A58" w:rsidP="0032211D">
      <w:pPr>
        <w:ind w:right="-142"/>
        <w:jc w:val="both"/>
      </w:pPr>
      <w:r>
        <w:t xml:space="preserve">Nr postępowania: </w:t>
      </w:r>
      <w:r w:rsidRPr="003E2D05">
        <w:t>2</w:t>
      </w:r>
      <w:r>
        <w:t>1/12</w:t>
      </w:r>
      <w:r w:rsidRPr="003E2D05">
        <w:t>/2017</w:t>
      </w:r>
    </w:p>
    <w:p w:rsidR="00FB0A58" w:rsidRDefault="00FB0A58" w:rsidP="0032211D">
      <w:pPr>
        <w:ind w:right="-142"/>
        <w:jc w:val="both"/>
      </w:pPr>
      <w:r>
        <w:t>Zamawiający informuje, że w w/w postępowaniu wpłynęły do Zamawiającego następujące pytania:</w:t>
      </w:r>
    </w:p>
    <w:p w:rsidR="00823C42" w:rsidRPr="00874EE4" w:rsidRDefault="00823C42" w:rsidP="0032211D">
      <w:pPr>
        <w:ind w:left="0" w:right="-142" w:hanging="284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Prosimy</w:t>
      </w:r>
      <w:r w:rsidR="00EB6E06">
        <w:rPr>
          <w:rFonts w:cstheme="minorHAnsi"/>
        </w:rPr>
        <w:t xml:space="preserve"> o podzielenie tego Zadania na czte</w:t>
      </w:r>
      <w:r w:rsidRPr="00874EE4">
        <w:rPr>
          <w:rFonts w:cstheme="minorHAnsi"/>
        </w:rPr>
        <w:t>ry pakiety, dokładnie takie jak były stosowane dotychczas</w:t>
      </w:r>
      <w:r w:rsidR="00C53000">
        <w:rPr>
          <w:rFonts w:cstheme="minorHAnsi"/>
        </w:rPr>
        <w:t xml:space="preserve"> w </w:t>
      </w:r>
      <w:r w:rsidR="00EB6E06">
        <w:rPr>
          <w:rFonts w:cstheme="minorHAnsi"/>
        </w:rPr>
        <w:t>przypadku postę</w:t>
      </w:r>
      <w:r w:rsidRPr="00874EE4">
        <w:rPr>
          <w:rFonts w:cstheme="minorHAnsi"/>
        </w:rPr>
        <w:t>powań na dostawy gazów medycznych. Pozostawienie wszystkiego w jednym pakiecie ogranicza konkurencję i wyklucza naszą firmę z tego postępowania. Większa ilość ofert, co umożliwi podzielenie zadania na takie pakiety jak dotychczas, bezdyskusyjn</w:t>
      </w:r>
      <w:r w:rsidR="008549B8">
        <w:rPr>
          <w:rFonts w:cstheme="minorHAnsi"/>
        </w:rPr>
        <w:t>ie leży w interesie publicznym.</w:t>
      </w:r>
    </w:p>
    <w:p w:rsidR="00724E8B" w:rsidRPr="00C53000" w:rsidRDefault="00724E8B" w:rsidP="0032211D">
      <w:pPr>
        <w:spacing w:line="240" w:lineRule="atLeast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C53000">
        <w:rPr>
          <w:rFonts w:cstheme="minorHAnsi"/>
          <w:b/>
        </w:rPr>
        <w:t xml:space="preserve"> </w:t>
      </w:r>
      <w:r w:rsidR="00C53000" w:rsidRPr="00C53000">
        <w:rPr>
          <w:rFonts w:cstheme="minorHAnsi"/>
        </w:rPr>
        <w:t>Nie, Zamawiający nie wyraża zgody na pakietowanie zamówienia na dostawę gazów.</w:t>
      </w:r>
    </w:p>
    <w:p w:rsidR="00EB6E06" w:rsidRPr="00874EE4" w:rsidRDefault="00EB6E0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Prosimy o wykreślenie zapisu „bez kołpaka” z opisu buli tlenowych 2l, wymóg stosowania kołpaka narzucają s</w:t>
      </w:r>
      <w:r w:rsidR="001304C7">
        <w:rPr>
          <w:rFonts w:cstheme="minorHAnsi"/>
        </w:rPr>
        <w:t>tosowne, obowiązujące w Polsce u</w:t>
      </w:r>
      <w:r w:rsidRPr="00874EE4">
        <w:rPr>
          <w:rFonts w:cstheme="minorHAnsi"/>
        </w:rPr>
        <w:t xml:space="preserve">stawy. Wymogu tego nie da się zmienić wymogami przetargowymi/zapisami </w:t>
      </w:r>
      <w:r w:rsidR="0067766D">
        <w:rPr>
          <w:rFonts w:cstheme="minorHAnsi"/>
        </w:rPr>
        <w:t>zaproszenia do składania ofert.</w:t>
      </w:r>
    </w:p>
    <w:p w:rsidR="00724E8B" w:rsidRPr="00724E8B" w:rsidRDefault="00724E8B" w:rsidP="0032211D">
      <w:pPr>
        <w:spacing w:line="240" w:lineRule="atLeast"/>
        <w:ind w:left="0" w:right="-142" w:firstLine="0"/>
        <w:jc w:val="both"/>
        <w:rPr>
          <w:rFonts w:cstheme="minorHAnsi"/>
          <w:b/>
        </w:rPr>
      </w:pPr>
      <w:r w:rsidRPr="00724E8B">
        <w:rPr>
          <w:rFonts w:cstheme="minorHAnsi"/>
          <w:b/>
        </w:rPr>
        <w:t>Odpowiedź:</w:t>
      </w:r>
      <w:r w:rsidR="00F15E5E">
        <w:rPr>
          <w:rFonts w:cstheme="minorHAnsi"/>
          <w:b/>
        </w:rPr>
        <w:t xml:space="preserve"> </w:t>
      </w:r>
      <w:r w:rsidR="00F15E5E" w:rsidRPr="00261F5F">
        <w:rPr>
          <w:rFonts w:cstheme="minorHAnsi"/>
        </w:rPr>
        <w:t>Zamawiający</w:t>
      </w:r>
      <w:r w:rsidR="00261F5F" w:rsidRPr="00261F5F">
        <w:rPr>
          <w:rFonts w:cstheme="minorHAnsi"/>
        </w:rPr>
        <w:t xml:space="preserve"> wykreśla zapis z opisu butli tlenowych 2 l.</w:t>
      </w:r>
    </w:p>
    <w:p w:rsidR="00724E8B" w:rsidRPr="00874EE4" w:rsidRDefault="00724E8B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Prosimy o dopuszczenie podtlenku azotu w butlach 10l o zawartości gazu 7kg.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261F5F">
        <w:rPr>
          <w:rFonts w:cstheme="minorHAnsi"/>
          <w:b/>
        </w:rPr>
        <w:t xml:space="preserve"> </w:t>
      </w:r>
      <w:r w:rsidR="00261F5F" w:rsidRPr="00261F5F">
        <w:rPr>
          <w:rFonts w:cstheme="minorHAnsi"/>
        </w:rPr>
        <w:t>Zamawiający dopuszcza.</w:t>
      </w:r>
    </w:p>
    <w:p w:rsidR="00724E8B" w:rsidRPr="00874EE4" w:rsidRDefault="00724E8B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Proszę o zm</w:t>
      </w:r>
      <w:r w:rsidR="001304C7">
        <w:rPr>
          <w:rFonts w:cstheme="minorHAnsi"/>
        </w:rPr>
        <w:t>ianę jm dla podtlenku azotu z m</w:t>
      </w:r>
      <w:r w:rsidR="001304C7">
        <w:rPr>
          <w:rFonts w:cstheme="minorHAnsi"/>
          <w:vertAlign w:val="superscript"/>
        </w:rPr>
        <w:t>3</w:t>
      </w:r>
      <w:r w:rsidRPr="00874EE4">
        <w:rPr>
          <w:rFonts w:cstheme="minorHAnsi"/>
        </w:rPr>
        <w:t xml:space="preserve"> na kg. W takich jednostkach jest sprzedawany ten gaz.</w:t>
      </w:r>
    </w:p>
    <w:p w:rsidR="00C96826" w:rsidRPr="006C2D71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6C2D71">
        <w:rPr>
          <w:rFonts w:cstheme="minorHAnsi"/>
          <w:b/>
        </w:rPr>
        <w:t xml:space="preserve"> </w:t>
      </w:r>
      <w:r w:rsidR="006C2D71" w:rsidRPr="006C2D71">
        <w:rPr>
          <w:rFonts w:cstheme="minorHAnsi"/>
        </w:rPr>
        <w:t>Zamawiający wyra</w:t>
      </w:r>
      <w:r w:rsidR="008549B8">
        <w:rPr>
          <w:rFonts w:cstheme="minorHAnsi"/>
        </w:rPr>
        <w:t>ża zgodę na przeliczenie jm z m</w:t>
      </w:r>
      <w:r w:rsidR="006C2D71" w:rsidRPr="006C2D71">
        <w:rPr>
          <w:rFonts w:cstheme="minorHAnsi"/>
          <w:vertAlign w:val="superscript"/>
        </w:rPr>
        <w:t>3</w:t>
      </w:r>
      <w:r w:rsidR="006C2D71" w:rsidRPr="006C2D71">
        <w:rPr>
          <w:rFonts w:cstheme="minorHAnsi"/>
        </w:rPr>
        <w:t xml:space="preserve"> na kg.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Prosimy o dopuszczenie dwutlenku węgla medycznego w butlach 10l o zawartości gazu 7,5 kg.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C85082" w:rsidRPr="00C85082">
        <w:rPr>
          <w:rFonts w:cstheme="minorHAnsi"/>
        </w:rPr>
        <w:t xml:space="preserve"> </w:t>
      </w:r>
      <w:r w:rsidR="00C85082" w:rsidRPr="00261F5F">
        <w:rPr>
          <w:rFonts w:cstheme="minorHAnsi"/>
        </w:rPr>
        <w:t>Zamawiający dopuszcza.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Proszę o zmianę jm dla</w:t>
      </w:r>
      <w:r w:rsidR="001304C7">
        <w:rPr>
          <w:rFonts w:cstheme="minorHAnsi"/>
        </w:rPr>
        <w:t xml:space="preserve"> dwutlenku węgla medycznego z m</w:t>
      </w:r>
      <w:r w:rsidR="001304C7">
        <w:rPr>
          <w:rFonts w:cstheme="minorHAnsi"/>
          <w:vertAlign w:val="superscript"/>
        </w:rPr>
        <w:t>3</w:t>
      </w:r>
      <w:r w:rsidRPr="00874EE4">
        <w:rPr>
          <w:rFonts w:cstheme="minorHAnsi"/>
        </w:rPr>
        <w:t xml:space="preserve"> na kg. W takich jednostkach jest sprzedawany ten gaz.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C85082" w:rsidRPr="00C85082">
        <w:rPr>
          <w:rFonts w:cstheme="minorHAnsi"/>
        </w:rPr>
        <w:t xml:space="preserve"> </w:t>
      </w:r>
      <w:r w:rsidR="00C85082" w:rsidRPr="006C2D71">
        <w:rPr>
          <w:rFonts w:cstheme="minorHAnsi"/>
        </w:rPr>
        <w:t>Zamawiający wyra</w:t>
      </w:r>
      <w:r w:rsidR="008549B8">
        <w:rPr>
          <w:rFonts w:cstheme="minorHAnsi"/>
        </w:rPr>
        <w:t>ża zgodę na przeliczenie jm z m</w:t>
      </w:r>
      <w:r w:rsidR="00C85082" w:rsidRPr="006C2D71">
        <w:rPr>
          <w:rFonts w:cstheme="minorHAnsi"/>
          <w:vertAlign w:val="superscript"/>
        </w:rPr>
        <w:t>3</w:t>
      </w:r>
      <w:r w:rsidR="00C85082" w:rsidRPr="006C2D71">
        <w:rPr>
          <w:rFonts w:cstheme="minorHAnsi"/>
        </w:rPr>
        <w:t xml:space="preserve"> na kg.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Prosimy o umożliwienie złożenia oferty w fo</w:t>
      </w:r>
      <w:r w:rsidR="008549B8">
        <w:rPr>
          <w:rFonts w:cstheme="minorHAnsi"/>
        </w:rPr>
        <w:t>rmie elektronicznej (skanu pdf).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1304C7">
        <w:rPr>
          <w:rFonts w:cstheme="minorHAnsi"/>
          <w:b/>
        </w:rPr>
        <w:t xml:space="preserve"> </w:t>
      </w:r>
      <w:r w:rsidR="001304C7" w:rsidRPr="00860B17">
        <w:rPr>
          <w:rFonts w:cstheme="minorHAnsi"/>
        </w:rPr>
        <w:t xml:space="preserve">Zamawiający </w:t>
      </w:r>
      <w:r w:rsidR="00860B17" w:rsidRPr="00860B17">
        <w:rPr>
          <w:rFonts w:cstheme="minorHAnsi"/>
        </w:rPr>
        <w:t>wyraża zgodę na</w:t>
      </w:r>
      <w:r w:rsidR="001304C7" w:rsidRPr="00860B17">
        <w:rPr>
          <w:rFonts w:cstheme="minorHAnsi"/>
        </w:rPr>
        <w:t xml:space="preserve"> złożenie oferty w formie elektronicznej.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Rozumiemy, że w Formularzu asortymentowo-cenowym dzierżawa butli ma być w jednostkach „butlodzień”, czyli wymagana ilość butli (32szt) ma być pomnożona przez ilość dni trwania umowy</w:t>
      </w:r>
      <w:r w:rsidR="00860B17">
        <w:rPr>
          <w:rFonts w:cstheme="minorHAnsi"/>
        </w:rPr>
        <w:t>, a </w:t>
      </w:r>
      <w:r w:rsidRPr="00874EE4">
        <w:rPr>
          <w:rFonts w:cstheme="minorHAnsi"/>
        </w:rPr>
        <w:t>następnie pomnożona przez stawkę dzierżawy jednej butli za jedną dobę. Prosimy o potwierdzenie.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C85082">
        <w:rPr>
          <w:rFonts w:cstheme="minorHAnsi"/>
          <w:b/>
        </w:rPr>
        <w:t xml:space="preserve"> </w:t>
      </w:r>
      <w:r w:rsidR="00C85082" w:rsidRPr="00C85082">
        <w:rPr>
          <w:rFonts w:cstheme="minorHAnsi"/>
        </w:rPr>
        <w:t>Zamawiający potwierdza.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 xml:space="preserve">Prosimy o zmianę w stosownych miejscach dotyczących czasu dostawy gazów „na cito” z 24 godzin na 1 dzień roboczy. Żaden z gazów objętych tym postępowaniem nie jest na liście leków ratujących życie. 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EA36AE">
        <w:rPr>
          <w:rFonts w:cstheme="minorHAnsi"/>
          <w:b/>
        </w:rPr>
        <w:t xml:space="preserve"> </w:t>
      </w:r>
      <w:r w:rsidR="00EA36AE" w:rsidRPr="00EA36AE">
        <w:rPr>
          <w:rFonts w:cstheme="minorHAnsi"/>
        </w:rPr>
        <w:t>Zamawiający zmienia czas dostawy gazów</w:t>
      </w:r>
      <w:r w:rsidR="00EA36AE">
        <w:rPr>
          <w:rFonts w:cstheme="minorHAnsi"/>
          <w:b/>
        </w:rPr>
        <w:t xml:space="preserve"> </w:t>
      </w:r>
      <w:r w:rsidR="00EA36AE" w:rsidRPr="00874EE4">
        <w:rPr>
          <w:rFonts w:cstheme="minorHAnsi"/>
        </w:rPr>
        <w:t>„na cito” z 24 godzin na 1 dzień roboczy</w:t>
      </w:r>
      <w:r w:rsidR="00EA36AE">
        <w:rPr>
          <w:rFonts w:cstheme="minorHAnsi"/>
        </w:rPr>
        <w:t>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Proszę o wprowadzenie następujących zmian w projekcie „Istotne Warunki Umowy” oraz we właściwych miejscach SIWZ:</w:t>
      </w:r>
    </w:p>
    <w:p w:rsidR="00823C42" w:rsidRPr="00874EE4" w:rsidRDefault="00823C42" w:rsidP="0032211D">
      <w:pPr>
        <w:spacing w:line="240" w:lineRule="atLeast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lastRenderedPageBreak/>
        <w:t xml:space="preserve">W § 5 ust 2 Proszę o zmianę z „datę obciążenia rachunku Zamawiającego” na „datę wpływu środków na konto Dostawcy”, ponieważ nie mamy wpływu na prace banku w którym Zamawiający posiada rachunek, i nie dysponujemy tymi środkami w momencie obciążenia Waszego konta. </w:t>
      </w:r>
    </w:p>
    <w:p w:rsidR="00823C42" w:rsidRPr="00874EE4" w:rsidRDefault="00823C42" w:rsidP="0032211D">
      <w:pPr>
        <w:spacing w:line="240" w:lineRule="atLeast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Prosimy o zmianę w § 7 ust 1 a) z „umowy” na „”niezrealizowanej części umowy”, tak jak jest to w § 7 ust 3. Kara swym zasięgiem nie może obejmować prawidłowo zrealizowanej części umowy.</w:t>
      </w:r>
    </w:p>
    <w:p w:rsidR="00823C42" w:rsidRPr="00874EE4" w:rsidRDefault="00823C42" w:rsidP="0032211D">
      <w:pPr>
        <w:spacing w:line="240" w:lineRule="atLeast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Prosimy o wykreślenie z § 7 ust 4 w całości.</w:t>
      </w:r>
    </w:p>
    <w:p w:rsidR="00823C42" w:rsidRDefault="00823C42" w:rsidP="0032211D">
      <w:pPr>
        <w:spacing w:line="240" w:lineRule="atLeast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Prosimy o zmianę brzmienia § 11 na: „Przeniesienie wierzytelności wynikających z niniejszej umowy na osobę trzecią dopuszczalne jest, tylko i wyłącznie, pod warunkiem, iż Wykonawca na 30 dni przed planowanym terminem zawarcia umowy cesji zawiadomi Zamawiającego na piśmie o tym fakcie”.</w:t>
      </w:r>
    </w:p>
    <w:p w:rsidR="00C96826" w:rsidRPr="00724E8B" w:rsidRDefault="00C96826" w:rsidP="0032211D">
      <w:pPr>
        <w:spacing w:line="240" w:lineRule="atLeast"/>
        <w:ind w:left="0" w:right="-142" w:firstLine="0"/>
        <w:jc w:val="both"/>
        <w:rPr>
          <w:rFonts w:cstheme="minorHAnsi"/>
          <w:b/>
        </w:rPr>
      </w:pPr>
      <w:r w:rsidRPr="00724E8B">
        <w:rPr>
          <w:rFonts w:cstheme="minorHAnsi"/>
          <w:b/>
        </w:rPr>
        <w:t>Odpowiedź:</w:t>
      </w:r>
      <w:r w:rsidR="00317CD1">
        <w:rPr>
          <w:rFonts w:cstheme="minorHAnsi"/>
          <w:b/>
        </w:rPr>
        <w:t xml:space="preserve"> </w:t>
      </w:r>
      <w:r w:rsidR="00317CD1" w:rsidRPr="00317CD1">
        <w:rPr>
          <w:rFonts w:cstheme="minorHAnsi"/>
        </w:rPr>
        <w:t>Zamawiający nie wyraża zgody.</w:t>
      </w:r>
    </w:p>
    <w:p w:rsidR="00C96826" w:rsidRPr="00874EE4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numPr>
          <w:ilvl w:val="0"/>
          <w:numId w:val="3"/>
        </w:numPr>
        <w:spacing w:line="240" w:lineRule="atLeast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W celu równego traktowania stron umowy prosimy o wpisanie w § 13 ust o brzmieniu „Wykonawca może wypowiedzieć umowę bez zachowania okresu wypowiedzenia, w przypadku, gdy Zamawiający będzie nieterminowo płacił za przedmiot umowy.”</w:t>
      </w:r>
    </w:p>
    <w:p w:rsidR="00C96826" w:rsidRPr="00C96826" w:rsidRDefault="00C96826" w:rsidP="0032211D">
      <w:pPr>
        <w:spacing w:line="240" w:lineRule="atLeast"/>
        <w:ind w:right="-142"/>
        <w:jc w:val="both"/>
        <w:rPr>
          <w:rFonts w:cstheme="minorHAnsi"/>
          <w:b/>
        </w:rPr>
      </w:pPr>
      <w:r w:rsidRPr="00C96826">
        <w:rPr>
          <w:rFonts w:cstheme="minorHAnsi"/>
          <w:b/>
        </w:rPr>
        <w:t>Odpowiedź:</w:t>
      </w:r>
      <w:r w:rsidR="00317CD1" w:rsidRPr="00317CD1">
        <w:rPr>
          <w:rFonts w:cstheme="minorHAnsi"/>
          <w:b/>
        </w:rPr>
        <w:t xml:space="preserve"> </w:t>
      </w:r>
      <w:r w:rsidR="00317CD1" w:rsidRPr="00317CD1">
        <w:rPr>
          <w:rFonts w:cstheme="minorHAnsi"/>
        </w:rPr>
        <w:t>Zamawiający nie wyraża zgody.</w:t>
      </w:r>
    </w:p>
    <w:p w:rsidR="00C96826" w:rsidRPr="00AA4077" w:rsidRDefault="00C96826" w:rsidP="0032211D">
      <w:pPr>
        <w:spacing w:line="240" w:lineRule="atLeast"/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tabs>
          <w:tab w:val="left" w:pos="1440"/>
          <w:tab w:val="left" w:pos="10206"/>
        </w:tabs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Bardzo proszę o doprecyzowanie jednostki miary dla pozycji 6 i 7 tj. dw</w:t>
      </w:r>
      <w:r w:rsidR="00931540">
        <w:rPr>
          <w:rFonts w:cstheme="minorHAnsi"/>
        </w:rPr>
        <w:t>utlenek węgla do laparoskopii i </w:t>
      </w:r>
      <w:r w:rsidRPr="00874EE4">
        <w:rPr>
          <w:rFonts w:cstheme="minorHAnsi"/>
        </w:rPr>
        <w:t xml:space="preserve">podtlenek azotu medyczny. </w:t>
      </w:r>
    </w:p>
    <w:p w:rsidR="00C96826" w:rsidRDefault="00823C42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Zawartość butli z tymi gazami jest podawana w kg, a butle o pojemności wodnej 10l zawierają odpowiednio 7,5 kg dwutlenku węgla do laparoskopii i 7,0-7,5 kg podtlenku azotu medycznego.</w:t>
      </w:r>
    </w:p>
    <w:p w:rsidR="00C96826" w:rsidRPr="00C96826" w:rsidRDefault="00C96826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D64DC1" w:rsidRPr="00D64DC1">
        <w:rPr>
          <w:rFonts w:cstheme="minorHAnsi"/>
        </w:rPr>
        <w:t xml:space="preserve"> </w:t>
      </w:r>
      <w:r w:rsidR="00D64DC1" w:rsidRPr="006C2D71">
        <w:rPr>
          <w:rFonts w:cstheme="minorHAnsi"/>
        </w:rPr>
        <w:t xml:space="preserve">Zamawiający wyraża zgodę na przeliczenie jm z m </w:t>
      </w:r>
      <w:r w:rsidR="00D64DC1" w:rsidRPr="006C2D71">
        <w:rPr>
          <w:rFonts w:cstheme="minorHAnsi"/>
          <w:vertAlign w:val="superscript"/>
        </w:rPr>
        <w:t>3</w:t>
      </w:r>
      <w:r w:rsidR="00D64DC1" w:rsidRPr="006C2D71">
        <w:rPr>
          <w:rFonts w:cstheme="minorHAnsi"/>
        </w:rPr>
        <w:t xml:space="preserve"> na kg.</w:t>
      </w:r>
    </w:p>
    <w:p w:rsidR="00823C42" w:rsidRPr="00874EE4" w:rsidRDefault="00823C42" w:rsidP="0032211D">
      <w:pPr>
        <w:pStyle w:val="Akapitzlist"/>
        <w:tabs>
          <w:tab w:val="left" w:pos="1440"/>
          <w:tab w:val="left" w:pos="10206"/>
        </w:tabs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tabs>
          <w:tab w:val="left" w:pos="1440"/>
          <w:tab w:val="left" w:pos="10206"/>
        </w:tabs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Czy przez Kartę Specyfikacji Produktu potwierdzającą wymagania Farmakopeii Europejskiej w zakresie czystości tlenu medycznego, Zamawiający rozumie Kartę Charakterystyki Produktu Leczniczego?</w:t>
      </w:r>
    </w:p>
    <w:p w:rsidR="00C96826" w:rsidRDefault="00823C42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Nie ma wymogu prawnego posiadania innych dokumentów, a Karta Charakterystyki Produktu Leczniczego jest dokumentem, który potwierdza skład ilościowy i jakościowy produktu leczniczego.</w:t>
      </w:r>
    </w:p>
    <w:p w:rsidR="00C96826" w:rsidRPr="00C96826" w:rsidRDefault="00C96826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207815">
        <w:rPr>
          <w:rFonts w:cstheme="minorHAnsi"/>
          <w:b/>
        </w:rPr>
        <w:t xml:space="preserve"> </w:t>
      </w:r>
      <w:r w:rsidR="00207815" w:rsidRPr="00207815">
        <w:rPr>
          <w:rFonts w:cstheme="minorHAnsi"/>
        </w:rPr>
        <w:t>Tak, Zamawiającemu chodzi o</w:t>
      </w:r>
      <w:r w:rsidR="00207815">
        <w:rPr>
          <w:rFonts w:cstheme="minorHAnsi"/>
          <w:b/>
        </w:rPr>
        <w:t xml:space="preserve"> </w:t>
      </w:r>
      <w:r w:rsidR="00207815" w:rsidRPr="00874EE4">
        <w:rPr>
          <w:rFonts w:cstheme="minorHAnsi"/>
        </w:rPr>
        <w:t>Kartę Charakterystyki Produktu Leczniczego</w:t>
      </w:r>
      <w:r w:rsidR="00207815">
        <w:rPr>
          <w:rFonts w:cstheme="minorHAnsi"/>
        </w:rPr>
        <w:t>.</w:t>
      </w:r>
    </w:p>
    <w:p w:rsidR="00C96826" w:rsidRPr="00874EE4" w:rsidRDefault="00C96826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</w:p>
    <w:p w:rsidR="00823C42" w:rsidRPr="00B834A7" w:rsidRDefault="00823C42" w:rsidP="0032211D">
      <w:pPr>
        <w:pStyle w:val="Akapitzlist"/>
        <w:numPr>
          <w:ilvl w:val="0"/>
          <w:numId w:val="3"/>
        </w:numPr>
        <w:tabs>
          <w:tab w:val="left" w:pos="1440"/>
          <w:tab w:val="left" w:pos="10206"/>
        </w:tabs>
        <w:spacing w:after="240"/>
        <w:ind w:left="0" w:right="-142" w:hanging="284"/>
        <w:jc w:val="both"/>
        <w:rPr>
          <w:rFonts w:cstheme="minorHAnsi"/>
        </w:rPr>
      </w:pPr>
      <w:r w:rsidRPr="00B834A7">
        <w:rPr>
          <w:rFonts w:cstheme="minorHAnsi"/>
        </w:rPr>
        <w:t>Ze względu na specyfikę dostaw gazów medycznych, które wymagają specjalnych warunków transportu, proszę o zmianę zapisu dotyczącego terminu dostawy z 1 dnia roboczego na 2 dni robocze.</w:t>
      </w:r>
    </w:p>
    <w:p w:rsidR="00C96826" w:rsidRPr="00B834A7" w:rsidRDefault="00C96826" w:rsidP="0032211D">
      <w:pPr>
        <w:pStyle w:val="Akapitzlist"/>
        <w:spacing w:line="240" w:lineRule="atLeast"/>
        <w:ind w:left="0" w:right="-142" w:firstLine="0"/>
        <w:jc w:val="both"/>
        <w:rPr>
          <w:rFonts w:cstheme="minorHAnsi"/>
          <w:b/>
        </w:rPr>
      </w:pPr>
      <w:r w:rsidRPr="00B834A7">
        <w:rPr>
          <w:rFonts w:cstheme="minorHAnsi"/>
          <w:b/>
        </w:rPr>
        <w:t>Odpowiedź:</w:t>
      </w:r>
      <w:r w:rsidR="00B834A7" w:rsidRPr="00B834A7">
        <w:rPr>
          <w:rFonts w:cstheme="minorHAnsi"/>
          <w:b/>
        </w:rPr>
        <w:t xml:space="preserve"> </w:t>
      </w:r>
      <w:r w:rsidR="00767C50">
        <w:rPr>
          <w:rFonts w:cstheme="minorHAnsi"/>
        </w:rPr>
        <w:t xml:space="preserve">Zamawiający wymaga dostawy tleny medycznego </w:t>
      </w:r>
      <w:r w:rsidR="00D62970">
        <w:rPr>
          <w:rFonts w:cstheme="minorHAnsi"/>
        </w:rPr>
        <w:t>w terminie 1 dnia roboc</w:t>
      </w:r>
      <w:r w:rsidR="00F138C8">
        <w:rPr>
          <w:rFonts w:cstheme="minorHAnsi"/>
        </w:rPr>
        <w:t xml:space="preserve">zego, </w:t>
      </w:r>
      <w:r w:rsidR="00F138C8" w:rsidRPr="00F138C8">
        <w:t>a</w:t>
      </w:r>
      <w:r w:rsidR="00451360">
        <w:t> </w:t>
      </w:r>
      <w:r w:rsidR="00D62970" w:rsidRPr="00F138C8">
        <w:t>pozostałych</w:t>
      </w:r>
      <w:r w:rsidR="00D62970">
        <w:rPr>
          <w:rFonts w:cstheme="minorHAnsi"/>
        </w:rPr>
        <w:t xml:space="preserve"> gazów w terminie 3 dni roboczych</w:t>
      </w:r>
      <w:r w:rsidR="00F138C8">
        <w:rPr>
          <w:rFonts w:cstheme="minorHAnsi"/>
        </w:rPr>
        <w:t>.</w:t>
      </w:r>
    </w:p>
    <w:p w:rsidR="00C96826" w:rsidRPr="00874EE4" w:rsidRDefault="00C96826" w:rsidP="0032211D">
      <w:pPr>
        <w:pStyle w:val="Akapitzlist"/>
        <w:tabs>
          <w:tab w:val="left" w:pos="1440"/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Proszę o potwierdzenie sposobu podawania gazu medycznego, mieszanina 50% podtlenku azotu i 50% tlenu.</w:t>
      </w:r>
    </w:p>
    <w:p w:rsidR="00823C42" w:rsidRPr="00874EE4" w:rsidRDefault="00823C42" w:rsidP="0032211D">
      <w:pPr>
        <w:pStyle w:val="Akapitzlist"/>
        <w:tabs>
          <w:tab w:val="left" w:pos="10206"/>
        </w:tabs>
        <w:autoSpaceDE w:val="0"/>
        <w:autoSpaceDN w:val="0"/>
        <w:adjustRightInd w:val="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Czy gaz jest stosowany w położnictwie, poprzez zawór dozujący (tzw. zawór na żądanie), a pacjentka oddycha/inhaluje gaz podczas skurczów?</w:t>
      </w:r>
    </w:p>
    <w:p w:rsidR="002F4E06" w:rsidRDefault="00823C42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 xml:space="preserve">Według naszej wiedzy w Państwa placówce, gaz jest używany </w:t>
      </w:r>
      <w:r w:rsidRPr="00874EE4">
        <w:rPr>
          <w:rFonts w:cstheme="minorHAnsi"/>
          <w:u w:val="single"/>
        </w:rPr>
        <w:t>tylko i wyłącznie</w:t>
      </w:r>
      <w:r w:rsidRPr="00874EE4">
        <w:rPr>
          <w:rFonts w:cstheme="minorHAnsi"/>
        </w:rPr>
        <w:t xml:space="preserve"> w położnictwie.</w:t>
      </w:r>
    </w:p>
    <w:p w:rsidR="002F4E06" w:rsidRPr="002F4E06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3469C5">
        <w:rPr>
          <w:rFonts w:cstheme="minorHAnsi"/>
          <w:b/>
        </w:rPr>
        <w:t xml:space="preserve"> </w:t>
      </w:r>
      <w:r w:rsidR="003469C5" w:rsidRPr="003469C5">
        <w:rPr>
          <w:rFonts w:cstheme="minorHAnsi"/>
        </w:rPr>
        <w:t>Zamawiający potwierdza sposób podawania gazu medycznego.</w:t>
      </w:r>
    </w:p>
    <w:p w:rsidR="002F4E06" w:rsidRPr="00874EE4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 xml:space="preserve">Jeżeli odpowiedź na poprzednie brzmi </w:t>
      </w:r>
      <w:r w:rsidRPr="00874EE4">
        <w:rPr>
          <w:rFonts w:cstheme="minorHAnsi"/>
          <w:b/>
        </w:rPr>
        <w:t>TAK</w:t>
      </w:r>
      <w:r w:rsidRPr="00874EE4">
        <w:rPr>
          <w:rFonts w:cstheme="minorHAnsi"/>
        </w:rPr>
        <w:t>, to czy Zamawiający wymaga zaoferowania produktu leczniczego, gazu medycznego mieszanina 50% podtlenku azotu i 50% tlenu, który oprócz wskazania do stosowania w krótkotrwałych, bolesnych procedurach medycznych, po</w:t>
      </w:r>
      <w:r w:rsidR="00622C25">
        <w:rPr>
          <w:rFonts w:cstheme="minorHAnsi"/>
        </w:rPr>
        <w:t>siada wskazania do stosowania i </w:t>
      </w:r>
      <w:r w:rsidRPr="00874EE4">
        <w:rPr>
          <w:rFonts w:cstheme="minorHAnsi"/>
        </w:rPr>
        <w:t>określony sposób podawania w położnictwie (punkt 4.1</w:t>
      </w:r>
      <w:r w:rsidRPr="00874EE4">
        <w:rPr>
          <w:rFonts w:cstheme="minorHAnsi"/>
          <w:i/>
        </w:rPr>
        <w:t xml:space="preserve"> Wskazania do stosowania </w:t>
      </w:r>
      <w:r w:rsidRPr="00874EE4">
        <w:rPr>
          <w:rFonts w:cstheme="minorHAnsi"/>
        </w:rPr>
        <w:t>i</w:t>
      </w:r>
      <w:r w:rsidRPr="00874EE4">
        <w:rPr>
          <w:rFonts w:cstheme="minorHAnsi"/>
          <w:i/>
        </w:rPr>
        <w:t xml:space="preserve"> </w:t>
      </w:r>
      <w:r w:rsidRPr="00874EE4">
        <w:rPr>
          <w:rFonts w:cstheme="minorHAnsi"/>
        </w:rPr>
        <w:t xml:space="preserve">punkt 4.2 </w:t>
      </w:r>
      <w:r w:rsidRPr="00874EE4">
        <w:rPr>
          <w:rFonts w:cstheme="minorHAnsi"/>
          <w:i/>
        </w:rPr>
        <w:t xml:space="preserve">Dawkowanie i sposób podania), </w:t>
      </w:r>
      <w:r w:rsidRPr="00874EE4">
        <w:rPr>
          <w:rFonts w:cstheme="minorHAnsi"/>
        </w:rPr>
        <w:t>zawarte w Charakterystyce Produktu Leczniczego, która zostanie dołączona do oferty?</w:t>
      </w:r>
    </w:p>
    <w:p w:rsidR="00823C42" w:rsidRPr="00874EE4" w:rsidRDefault="00823C42" w:rsidP="0032211D">
      <w:pPr>
        <w:pStyle w:val="Akapitzlist"/>
        <w:tabs>
          <w:tab w:val="left" w:pos="10206"/>
        </w:tabs>
        <w:autoSpaceDE w:val="0"/>
        <w:autoSpaceDN w:val="0"/>
        <w:adjustRightInd w:val="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Charakterystyka Produktu Leczniczego jest dokumentem, który podlega weryfikacji podczas procesu rejestracji produktu leczniczego, określonego w Ustawie Prawo Farmaceutyczne rozdz. 2 „</w:t>
      </w:r>
      <w:r w:rsidRPr="00874EE4">
        <w:rPr>
          <w:rFonts w:cstheme="minorHAnsi"/>
          <w:i/>
        </w:rPr>
        <w:t>Dopuszczenie do obrotu produktów leczniczych</w:t>
      </w:r>
      <w:r w:rsidRPr="00874EE4">
        <w:rPr>
          <w:rFonts w:cstheme="minorHAnsi"/>
        </w:rPr>
        <w:t xml:space="preserve">” i stanowi załącznik do decyzji Prezesa Urzędu Rejestracji Produktów Leczniczych, Wyrobów Medycznych i Produktów Biobójczych o dopuszczeniu do obrotu. Zawiera ściśle określone informacje, w tym punkt 4 </w:t>
      </w:r>
      <w:r w:rsidRPr="00874EE4">
        <w:rPr>
          <w:rFonts w:cstheme="minorHAnsi"/>
          <w:i/>
        </w:rPr>
        <w:t>Szczegółowe dane kliniczne</w:t>
      </w:r>
      <w:r w:rsidRPr="00874EE4">
        <w:rPr>
          <w:rFonts w:cstheme="minorHAnsi"/>
        </w:rPr>
        <w:t xml:space="preserve">. Jego częścią jest podpunkt 4.1  </w:t>
      </w:r>
      <w:r w:rsidRPr="00874EE4">
        <w:rPr>
          <w:rFonts w:cstheme="minorHAnsi"/>
          <w:i/>
        </w:rPr>
        <w:t>Wskazania do stosowania</w:t>
      </w:r>
      <w:r w:rsidRPr="00874EE4">
        <w:rPr>
          <w:rFonts w:cstheme="minorHAnsi"/>
        </w:rPr>
        <w:t>. Informacja zawarta w podpunkcie 4.6</w:t>
      </w:r>
      <w:r w:rsidRPr="00874EE4">
        <w:rPr>
          <w:rFonts w:cstheme="minorHAnsi"/>
          <w:i/>
        </w:rPr>
        <w:t xml:space="preserve"> Wpływ na </w:t>
      </w:r>
      <w:r w:rsidRPr="00874EE4">
        <w:rPr>
          <w:rFonts w:cstheme="minorHAnsi"/>
          <w:i/>
        </w:rPr>
        <w:lastRenderedPageBreak/>
        <w:t>płodność, ciążę i laktację</w:t>
      </w:r>
      <w:r w:rsidRPr="00874EE4">
        <w:rPr>
          <w:rFonts w:cstheme="minorHAnsi"/>
        </w:rPr>
        <w:t xml:space="preserve"> jest jedynie informacją o wpływie produktu leczniczego na wymienione stany i obligatoryjnie jest zamieszczana w charakterystykach produktów leczniczych, nie stanowi jednak wskazań do stosowania, które zawsze są zawarte w podpunkcie 4.1</w:t>
      </w:r>
      <w:r w:rsidRPr="00874EE4">
        <w:rPr>
          <w:rFonts w:cstheme="minorHAnsi"/>
          <w:b/>
        </w:rPr>
        <w:t xml:space="preserve"> </w:t>
      </w:r>
      <w:r w:rsidRPr="00874EE4">
        <w:rPr>
          <w:rFonts w:cstheme="minorHAnsi"/>
          <w:i/>
        </w:rPr>
        <w:t>Wskazania do stosowania</w:t>
      </w:r>
      <w:r w:rsidRPr="00874EE4">
        <w:rPr>
          <w:rFonts w:cstheme="minorHAnsi"/>
        </w:rPr>
        <w:t>.</w:t>
      </w:r>
    </w:p>
    <w:p w:rsidR="00823C42" w:rsidRPr="00874EE4" w:rsidRDefault="00823C42" w:rsidP="0032211D">
      <w:pPr>
        <w:pStyle w:val="Akapitzlist"/>
        <w:tabs>
          <w:tab w:val="left" w:pos="10206"/>
        </w:tabs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Informacje tam zawarte są jedynym wiążącym kryterium medycznym, co do zastosowania produktu leczniczego, opartym na badaniach klinicznych i zawierają zamknięty katalog wskazań do stosowania. Wagę zapisów zawartych w charakterystyce produktu leczniczego oraz braku ich swobodnej interpretacji podkreśla również w orzecznictwo</w:t>
      </w:r>
      <w:r w:rsidR="0067766D">
        <w:rPr>
          <w:rFonts w:cstheme="minorHAnsi"/>
        </w:rPr>
        <w:t xml:space="preserve"> </w:t>
      </w:r>
      <w:r w:rsidRPr="00874EE4">
        <w:rPr>
          <w:rFonts w:cstheme="minorHAnsi"/>
        </w:rPr>
        <w:t>- wyrok KIO z dn. 1.06.2012 sygn. 1004/12.</w:t>
      </w:r>
    </w:p>
    <w:p w:rsidR="00823C42" w:rsidRPr="00874EE4" w:rsidRDefault="00823C42" w:rsidP="0032211D">
      <w:pPr>
        <w:pStyle w:val="Akapitzlist"/>
        <w:tabs>
          <w:tab w:val="left" w:pos="10206"/>
        </w:tabs>
        <w:autoSpaceDE w:val="0"/>
        <w:autoSpaceDN w:val="0"/>
        <w:adjustRightInd w:val="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Jeżeli ogólnie dostępne są produkty lecznicze posiadające rejestrację we wskazaniach, w których mają być użyte, niedopuszczalna jest zamiana na inne produkty lecznicze, kt</w:t>
      </w:r>
      <w:r w:rsidR="00622C25">
        <w:rPr>
          <w:rFonts w:cstheme="minorHAnsi"/>
        </w:rPr>
        <w:t>óre nie posiadają rejestracji w </w:t>
      </w:r>
      <w:r w:rsidRPr="00874EE4">
        <w:rPr>
          <w:rFonts w:cstheme="minorHAnsi"/>
        </w:rPr>
        <w:t>danym wskazaniu. Działanie tego rodzaju należy identyfiko</w:t>
      </w:r>
      <w:r w:rsidR="00622C25">
        <w:rPr>
          <w:rFonts w:cstheme="minorHAnsi"/>
        </w:rPr>
        <w:t>wać z eksperymentem medycznym w </w:t>
      </w:r>
      <w:r w:rsidRPr="00874EE4">
        <w:rPr>
          <w:rFonts w:cstheme="minorHAnsi"/>
        </w:rPr>
        <w:t>rozumieniu Ustawy o zawodach lekarza i lekarza dentysty z 05.1</w:t>
      </w:r>
      <w:r w:rsidR="00622C25">
        <w:rPr>
          <w:rFonts w:cstheme="minorHAnsi"/>
        </w:rPr>
        <w:t>2.1996 ze zmianami, Dz. Ustaw z </w:t>
      </w:r>
      <w:r w:rsidRPr="00874EE4">
        <w:rPr>
          <w:rFonts w:cstheme="minorHAnsi"/>
        </w:rPr>
        <w:t>2011r. nr 277 poz. 1634.</w:t>
      </w:r>
    </w:p>
    <w:p w:rsidR="002F4E06" w:rsidRDefault="00823C42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Proszę o skonsultowanie powyższego pytania z Kierownikiem Apteki Szpitalnej.</w:t>
      </w:r>
    </w:p>
    <w:p w:rsidR="002F4E06" w:rsidRPr="002F4E06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622C25">
        <w:rPr>
          <w:rFonts w:cstheme="minorHAnsi"/>
          <w:b/>
        </w:rPr>
        <w:t xml:space="preserve"> </w:t>
      </w:r>
      <w:r w:rsidR="00622C25" w:rsidRPr="00622C25">
        <w:rPr>
          <w:rFonts w:cstheme="minorHAnsi"/>
        </w:rPr>
        <w:t>Tak, Zamawiający wymaga.</w:t>
      </w:r>
    </w:p>
    <w:p w:rsidR="002F4E06" w:rsidRPr="00874EE4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after="24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Proszę o wykreślenie zapisów dotyczących pochodzenia od jednego producenta części składowych systemu do podaży mieszaniny 50% podtlenku azotu i 50% tlenu. Zapis ten wskazuje na tylko jednego wykonawcę.</w:t>
      </w:r>
    </w:p>
    <w:p w:rsidR="002F4E06" w:rsidRPr="002F4E06" w:rsidRDefault="002F4E06" w:rsidP="0032211D">
      <w:pPr>
        <w:pStyle w:val="Akapitzlist"/>
        <w:spacing w:line="240" w:lineRule="atLeast"/>
        <w:ind w:left="0" w:right="-142" w:firstLine="0"/>
        <w:jc w:val="both"/>
        <w:rPr>
          <w:rFonts w:cstheme="minorHAnsi"/>
          <w:b/>
        </w:rPr>
      </w:pPr>
      <w:r w:rsidRPr="002F4E06">
        <w:rPr>
          <w:rFonts w:cstheme="minorHAnsi"/>
          <w:b/>
        </w:rPr>
        <w:t>Odpowiedź:</w:t>
      </w:r>
      <w:r w:rsidR="00B41F62">
        <w:rPr>
          <w:rFonts w:cstheme="minorHAnsi"/>
          <w:b/>
        </w:rPr>
        <w:t xml:space="preserve"> </w:t>
      </w:r>
      <w:r w:rsidR="00B41F62" w:rsidRPr="00B41F62">
        <w:rPr>
          <w:rFonts w:cstheme="minorHAnsi"/>
        </w:rPr>
        <w:t>Zamawiający wykreśla w/w zapis.</w:t>
      </w:r>
    </w:p>
    <w:p w:rsidR="002F4E06" w:rsidRPr="00874EE4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823C42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after="24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 xml:space="preserve">Czy w trosce o bezpieczeństwo pacjentów, Zamawiający dopuści zaoferowanie, zaworu dozującego zintegrowanego z zaworem wydechowym i tworzącym z jednorazowymi wyrobami medycznymi (ustnik /filtr antybakteryjny,) bezpieczny układ niepozwalający na powrót wydychanego powietrza do zaworu dozującego i stwarzający z wnętrza zaworu tzw. </w:t>
      </w:r>
      <w:r w:rsidRPr="00874EE4">
        <w:rPr>
          <w:rFonts w:cstheme="minorHAnsi"/>
          <w:b/>
          <w:i/>
        </w:rPr>
        <w:t>strefę bezdotykową,</w:t>
      </w:r>
      <w:r w:rsidR="00D10DFA">
        <w:rPr>
          <w:rFonts w:cstheme="minorHAnsi"/>
        </w:rPr>
        <w:t xml:space="preserve"> niewymagającą dezynfekcji i </w:t>
      </w:r>
      <w:r w:rsidRPr="00874EE4">
        <w:rPr>
          <w:rFonts w:cstheme="minorHAnsi"/>
        </w:rPr>
        <w:t>potwierdzenie tego oświadczeniem producenta?</w:t>
      </w:r>
    </w:p>
    <w:p w:rsidR="002F4E06" w:rsidRPr="002F4E06" w:rsidRDefault="002F4E06" w:rsidP="0032211D">
      <w:pPr>
        <w:pStyle w:val="Akapitzlist"/>
        <w:spacing w:line="240" w:lineRule="atLeast"/>
        <w:ind w:left="0" w:right="-142" w:firstLine="0"/>
        <w:jc w:val="both"/>
        <w:rPr>
          <w:rFonts w:cstheme="minorHAnsi"/>
          <w:b/>
        </w:rPr>
      </w:pPr>
      <w:r w:rsidRPr="002F4E06">
        <w:rPr>
          <w:rFonts w:cstheme="minorHAnsi"/>
          <w:b/>
        </w:rPr>
        <w:t>Odpowiedź:</w:t>
      </w:r>
      <w:r w:rsidR="00620805" w:rsidRPr="00620805">
        <w:rPr>
          <w:rFonts w:cstheme="minorHAnsi"/>
        </w:rPr>
        <w:t xml:space="preserve"> </w:t>
      </w:r>
      <w:r w:rsidR="00DD7705">
        <w:rPr>
          <w:rFonts w:cstheme="minorHAnsi"/>
        </w:rPr>
        <w:t>Tak, Zamawiający dopuszcza, ale nie wymaga.</w:t>
      </w:r>
    </w:p>
    <w:p w:rsidR="002F4E06" w:rsidRPr="00874EE4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shd w:val="clear" w:color="auto" w:fill="FFFFFF"/>
        <w:tabs>
          <w:tab w:val="left" w:pos="10206"/>
        </w:tabs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Czy w trosce o bezpieczeństwo pacjentów oraz personelu medycznego, Zamawiający wymaga zaoferowania zaworu gwarantującego bezpieczeństwo mikrobiologiczne, czyli możliwość dezynfekcji jego zewnętrznych powierzchni, zgodnie z procedurami szpitalnymi. Zawór dozujący jest tzw.</w:t>
      </w:r>
      <w:r w:rsidRPr="00874EE4">
        <w:rPr>
          <w:rFonts w:cstheme="minorHAnsi"/>
          <w:i/>
        </w:rPr>
        <w:t xml:space="preserve"> </w:t>
      </w:r>
      <w:r w:rsidRPr="00874EE4">
        <w:rPr>
          <w:rFonts w:cstheme="minorHAnsi"/>
          <w:b/>
          <w:i/>
        </w:rPr>
        <w:t xml:space="preserve">strefą dotykową </w:t>
      </w:r>
      <w:r w:rsidRPr="00874EE4">
        <w:rPr>
          <w:rFonts w:cstheme="minorHAnsi"/>
        </w:rPr>
        <w:t xml:space="preserve">- czyli podlegającą dezynfekcji. </w:t>
      </w:r>
    </w:p>
    <w:p w:rsidR="002F4E06" w:rsidRDefault="00823C42" w:rsidP="0032211D">
      <w:pPr>
        <w:pStyle w:val="Akapitzlist"/>
        <w:shd w:val="clear" w:color="auto" w:fill="FFFFFF"/>
        <w:tabs>
          <w:tab w:val="left" w:pos="10206"/>
        </w:tabs>
        <w:spacing w:after="240"/>
        <w:ind w:left="0" w:right="-142" w:firstLine="0"/>
        <w:jc w:val="both"/>
        <w:rPr>
          <w:rFonts w:cstheme="minorHAnsi"/>
          <w:i/>
        </w:rPr>
      </w:pPr>
      <w:r w:rsidRPr="00874EE4">
        <w:rPr>
          <w:rFonts w:cstheme="minorHAnsi"/>
          <w:i/>
        </w:rPr>
        <w:t>„</w:t>
      </w:r>
      <w:r w:rsidRPr="00874EE4">
        <w:rPr>
          <w:rFonts w:cstheme="minorHAnsi"/>
        </w:rPr>
        <w:t xml:space="preserve">- </w:t>
      </w:r>
      <w:r w:rsidRPr="00874EE4">
        <w:rPr>
          <w:rFonts w:cstheme="minorHAnsi"/>
          <w:i/>
          <w:u w:val="single"/>
        </w:rPr>
        <w:t>strefa dotykowa</w:t>
      </w:r>
      <w:r w:rsidRPr="00874EE4">
        <w:rPr>
          <w:rFonts w:cstheme="minorHAnsi"/>
        </w:rPr>
        <w:t xml:space="preserve">- </w:t>
      </w:r>
      <w:r w:rsidRPr="00874EE4">
        <w:rPr>
          <w:rFonts w:cstheme="minorHAnsi"/>
          <w:i/>
        </w:rPr>
        <w:t>obejmuje</w:t>
      </w:r>
      <w:r w:rsidRPr="00874EE4">
        <w:rPr>
          <w:rFonts w:cstheme="minorHAnsi"/>
        </w:rPr>
        <w:t xml:space="preserve"> </w:t>
      </w:r>
      <w:r w:rsidRPr="00874EE4">
        <w:rPr>
          <w:rFonts w:cstheme="minorHAnsi"/>
          <w:i/>
        </w:rPr>
        <w:t>wszystkie powierzchnie, z którymi pacjent i personel kontaktują się często, ale które nie zostały skażone biologicznym materiałem ludzkim; z uwagi na częsty kontakt za pośrednictwem rąk lub sprzętu medycznego ryzyko kontaminacji tych obszarów jest duże oraz przeniesienie znajdującego się na tych powierzchniach zanieczyszczenia na każdą kontaktującą się z nimi osobę (m.in. klamki, uchwyty, kontakty, słuchawki telefoniczne, poręcze krzeseł, blaty robocze, strefa wokół umywalki”.</w:t>
      </w:r>
    </w:p>
    <w:p w:rsidR="002F4E06" w:rsidRPr="002F4E06" w:rsidRDefault="002F4E06" w:rsidP="0032211D">
      <w:pPr>
        <w:pStyle w:val="Akapitzlist"/>
        <w:shd w:val="clear" w:color="auto" w:fill="FFFFFF"/>
        <w:tabs>
          <w:tab w:val="left" w:pos="10206"/>
        </w:tabs>
        <w:spacing w:after="240"/>
        <w:ind w:left="0" w:right="-142" w:firstLine="0"/>
        <w:jc w:val="both"/>
        <w:rPr>
          <w:rFonts w:cstheme="minorHAnsi"/>
          <w:i/>
        </w:rPr>
      </w:pPr>
      <w:r w:rsidRPr="00724E8B">
        <w:rPr>
          <w:rFonts w:cstheme="minorHAnsi"/>
          <w:b/>
        </w:rPr>
        <w:t>Odpowiedź:</w:t>
      </w:r>
      <w:r w:rsidR="00DD7705">
        <w:rPr>
          <w:rFonts w:cstheme="minorHAnsi"/>
          <w:b/>
        </w:rPr>
        <w:t xml:space="preserve"> </w:t>
      </w:r>
      <w:r w:rsidR="00DD7705">
        <w:rPr>
          <w:rFonts w:cstheme="minorHAnsi"/>
        </w:rPr>
        <w:t>Tak, Zamawiający dopuszcza, ale nie wymaga.</w:t>
      </w:r>
    </w:p>
    <w:p w:rsidR="002F4E06" w:rsidRPr="00874EE4" w:rsidRDefault="002F4E06" w:rsidP="0032211D">
      <w:pPr>
        <w:pStyle w:val="Akapitzlist"/>
        <w:shd w:val="clear" w:color="auto" w:fill="FFFFFF"/>
        <w:tabs>
          <w:tab w:val="left" w:pos="10206"/>
        </w:tabs>
        <w:spacing w:after="240"/>
        <w:ind w:left="0" w:right="-142" w:firstLine="0"/>
        <w:jc w:val="both"/>
        <w:rPr>
          <w:rFonts w:cstheme="minorHAnsi"/>
          <w:i/>
        </w:rPr>
      </w:pPr>
    </w:p>
    <w:p w:rsidR="00823C42" w:rsidRPr="00874EE4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 xml:space="preserve">Czy mając na uwadze bezpieczeństwo pacjentek podczas porodu, Zamawiający wymaga zaworu dozującego, którego wnętrze tworzy tzw. </w:t>
      </w:r>
      <w:r w:rsidRPr="00874EE4">
        <w:rPr>
          <w:rFonts w:cstheme="minorHAnsi"/>
          <w:b/>
          <w:i/>
        </w:rPr>
        <w:t>strefę bezdotykową</w:t>
      </w:r>
      <w:r w:rsidRPr="00874EE4">
        <w:rPr>
          <w:rFonts w:cstheme="minorHAnsi"/>
        </w:rPr>
        <w:t xml:space="preserve">, ale istnieje możliwość dezynfekcji lub/i sterylizacji zaworu w przypadku podejrzenia jego kontaminacji zgodnie z </w:t>
      </w:r>
      <w:r w:rsidRPr="00874EE4">
        <w:rPr>
          <w:rFonts w:cstheme="minorHAnsi"/>
          <w:i/>
        </w:rPr>
        <w:t>Procedurą dezynfekcji powierzchni skażonych materiałem organicznym</w:t>
      </w:r>
      <w:r w:rsidRPr="00874EE4">
        <w:rPr>
          <w:rFonts w:cstheme="minorHAnsi"/>
        </w:rPr>
        <w:t xml:space="preserve">? </w:t>
      </w:r>
    </w:p>
    <w:p w:rsidR="002F4E06" w:rsidRDefault="00823C42" w:rsidP="0032211D">
      <w:pPr>
        <w:pStyle w:val="Akapitzlist"/>
        <w:tabs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874EE4">
        <w:rPr>
          <w:rFonts w:cstheme="minorHAnsi"/>
        </w:rPr>
        <w:t>Bardzo proszę o skonsultowanie powyższego pytania z Epidemiologiem Szpitalnym.</w:t>
      </w:r>
    </w:p>
    <w:p w:rsidR="002F4E06" w:rsidRPr="002F4E06" w:rsidRDefault="002F4E06" w:rsidP="0032211D">
      <w:pPr>
        <w:pStyle w:val="Akapitzlist"/>
        <w:tabs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  <w:r w:rsidRPr="00724E8B">
        <w:rPr>
          <w:rFonts w:cstheme="minorHAnsi"/>
          <w:b/>
        </w:rPr>
        <w:t>Odpowiedź:</w:t>
      </w:r>
      <w:r w:rsidR="00DD7705">
        <w:rPr>
          <w:rFonts w:cstheme="minorHAnsi"/>
          <w:b/>
        </w:rPr>
        <w:t xml:space="preserve"> </w:t>
      </w:r>
      <w:r w:rsidR="00DD7705">
        <w:rPr>
          <w:rFonts w:cstheme="minorHAnsi"/>
        </w:rPr>
        <w:t>Tak, Zamawiający dopuszcza, ale nie wymaga.</w:t>
      </w:r>
    </w:p>
    <w:p w:rsidR="002F4E06" w:rsidRPr="00874EE4" w:rsidRDefault="002F4E06" w:rsidP="0032211D">
      <w:pPr>
        <w:pStyle w:val="Akapitzlist"/>
        <w:tabs>
          <w:tab w:val="left" w:pos="10206"/>
        </w:tabs>
        <w:spacing w:after="240"/>
        <w:ind w:left="0" w:right="-142" w:firstLine="0"/>
        <w:jc w:val="both"/>
        <w:rPr>
          <w:rFonts w:cstheme="minorHAnsi"/>
        </w:rPr>
      </w:pPr>
    </w:p>
    <w:p w:rsidR="002F4E06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after="24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t>Czy dla zapewnienia pacjentom bezpieczeństwa, Zamawiający wymaga, aby oferowane filtry antybakteryjne posiadały określoną skuteczność filtracji bakteryjnej i filtracji wirusowej nie mniejszą niż 99,999% i potwierdzenia tego kartą produktu lub oświadczeniem producenta?</w:t>
      </w:r>
    </w:p>
    <w:p w:rsidR="002F4E06" w:rsidRPr="002F4E06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2F4E06">
        <w:rPr>
          <w:rFonts w:cstheme="minorHAnsi"/>
          <w:b/>
        </w:rPr>
        <w:t>Odpowiedź:</w:t>
      </w:r>
      <w:r w:rsidR="00DD7705" w:rsidRPr="00DD7705">
        <w:rPr>
          <w:rFonts w:cstheme="minorHAnsi"/>
        </w:rPr>
        <w:t xml:space="preserve"> </w:t>
      </w:r>
      <w:r w:rsidR="00DD7705">
        <w:rPr>
          <w:rFonts w:cstheme="minorHAnsi"/>
        </w:rPr>
        <w:t>Tak, Zamawiający dopuszcza, ale nie wymaga.</w:t>
      </w:r>
    </w:p>
    <w:p w:rsidR="002F4E06" w:rsidRPr="009F1584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2F4E06" w:rsidRDefault="00823C42" w:rsidP="0032211D">
      <w:pPr>
        <w:pStyle w:val="Akapitzlist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after="240"/>
        <w:ind w:left="0" w:right="-142" w:hanging="284"/>
        <w:jc w:val="both"/>
        <w:rPr>
          <w:rFonts w:cstheme="minorHAnsi"/>
        </w:rPr>
      </w:pPr>
      <w:r w:rsidRPr="00874EE4">
        <w:rPr>
          <w:rFonts w:cstheme="minorHAnsi"/>
        </w:rPr>
        <w:lastRenderedPageBreak/>
        <w:t>Czy mając na uwadze termin wykonania zamówienia, Zamawiający wymaga, aby zaoferowane gazy medyczne tj. Tlen medyczny sprężony, Podtlenek azotu medyczny, Dwutlenek Węgla medyczny do laparoskopii i mieszanina tlen, podtlenek azotu 50%/50% miały termin ważności min. 12 miesiące?</w:t>
      </w:r>
    </w:p>
    <w:p w:rsidR="00454B36" w:rsidRDefault="002F4E0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  <w:r w:rsidRPr="002F4E06">
        <w:rPr>
          <w:rFonts w:cstheme="minorHAnsi"/>
          <w:b/>
        </w:rPr>
        <w:t>Odpowiedź:</w:t>
      </w:r>
      <w:r w:rsidR="00CC2FE6">
        <w:rPr>
          <w:rFonts w:cstheme="minorHAnsi"/>
          <w:b/>
        </w:rPr>
        <w:t xml:space="preserve"> </w:t>
      </w:r>
      <w:r w:rsidR="00CC2FE6" w:rsidRPr="00CC2FE6">
        <w:rPr>
          <w:rFonts w:cstheme="minorHAnsi"/>
        </w:rPr>
        <w:t>Tak, Zamawiający wymaga.</w:t>
      </w:r>
    </w:p>
    <w:p w:rsidR="00454B36" w:rsidRDefault="00454B36" w:rsidP="0032211D">
      <w:pPr>
        <w:pStyle w:val="Akapitzlist"/>
        <w:tabs>
          <w:tab w:val="left" w:pos="10206"/>
        </w:tabs>
        <w:autoSpaceDE w:val="0"/>
        <w:autoSpaceDN w:val="0"/>
        <w:adjustRightInd w:val="0"/>
        <w:spacing w:after="240"/>
        <w:ind w:left="0" w:right="-142" w:firstLine="0"/>
        <w:jc w:val="both"/>
        <w:rPr>
          <w:rFonts w:cstheme="minorHAnsi"/>
        </w:rPr>
      </w:pPr>
    </w:p>
    <w:p w:rsidR="00454B36" w:rsidRDefault="00454B36" w:rsidP="00454B36">
      <w:pPr>
        <w:pStyle w:val="Akapitzlist"/>
        <w:numPr>
          <w:ilvl w:val="0"/>
          <w:numId w:val="3"/>
        </w:numPr>
        <w:tabs>
          <w:tab w:val="left" w:pos="1440"/>
          <w:tab w:val="left" w:pos="10206"/>
        </w:tabs>
        <w:ind w:left="0" w:right="-142" w:hanging="284"/>
        <w:jc w:val="both"/>
      </w:pPr>
      <w:r>
        <w:t>Bardzo proszę o doprecyzowanie jednostki miary i sposobu obliczania dzierżaw.</w:t>
      </w:r>
    </w:p>
    <w:p w:rsidR="00454B36" w:rsidRDefault="00454B36" w:rsidP="00454B36">
      <w:pPr>
        <w:tabs>
          <w:tab w:val="left" w:pos="1440"/>
          <w:tab w:val="left" w:pos="10206"/>
        </w:tabs>
        <w:ind w:left="0" w:right="-142" w:firstLine="0"/>
        <w:jc w:val="both"/>
      </w:pPr>
      <w:r>
        <w:t xml:space="preserve">W formularzu asortymentowo-cenowym brak jest jednostki miary, a tym samym nie wiadomo, czego dotyczy podana liczba. Zwyczajową jednostką miary są tzw. </w:t>
      </w:r>
      <w:proofErr w:type="spellStart"/>
      <w:r>
        <w:t>butlodni</w:t>
      </w:r>
      <w:proofErr w:type="spellEnd"/>
      <w:r>
        <w:t xml:space="preserve">, czyli dzierżawa dzienna 1 sztuki butli i taką jednostkę stosował Zamawiający w poprzednich postępowaniach. Ponadto dla gazu medycznego z pozycji 4, w poprzednich postępowaniach Zamawiający dzierżawił oprócz butli, zawór dozujący oraz wózek do butli. Cena dzierżawy dziennej tych trzech elementów różni się od ceny dzierżawy dziennej butli. </w:t>
      </w:r>
    </w:p>
    <w:p w:rsidR="00454B36" w:rsidRDefault="00454B36" w:rsidP="00454B36">
      <w:pPr>
        <w:tabs>
          <w:tab w:val="left" w:pos="1440"/>
          <w:tab w:val="left" w:pos="10206"/>
        </w:tabs>
        <w:spacing w:after="240"/>
        <w:ind w:left="0" w:right="-142" w:firstLine="0"/>
        <w:jc w:val="both"/>
      </w:pPr>
      <w:r>
        <w:t>W związku z tym proszę o dodanie „pozycji dzienna dzierżawa butli, zaworu dozującego i wózka” oraz określenie ilości butlodni dla butli tlenu medycznego, podtlenku azotu medycznego i dwutlenku węgla medycznego.</w:t>
      </w:r>
    </w:p>
    <w:p w:rsidR="00454B36" w:rsidRPr="00A85D72" w:rsidRDefault="00454B36" w:rsidP="00A85D72">
      <w:pPr>
        <w:tabs>
          <w:tab w:val="left" w:pos="1440"/>
          <w:tab w:val="left" w:pos="10206"/>
        </w:tabs>
        <w:spacing w:after="240"/>
        <w:ind w:left="0" w:right="-142" w:firstLine="0"/>
        <w:jc w:val="both"/>
      </w:pPr>
      <w:r w:rsidRPr="00A85D72">
        <w:rPr>
          <w:b/>
        </w:rPr>
        <w:t>Odpowiedź:</w:t>
      </w:r>
      <w:r>
        <w:t xml:space="preserve"> </w:t>
      </w:r>
      <w:r w:rsidR="00A85D72">
        <w:t>Zamawiający dodał w/w pozycje w „Formularzu asortymentowo-cenowym”.</w:t>
      </w:r>
    </w:p>
    <w:p w:rsidR="00D10DFA" w:rsidRDefault="00D10DFA" w:rsidP="0032211D">
      <w:pPr>
        <w:ind w:left="0" w:right="-142" w:firstLine="0"/>
        <w:jc w:val="both"/>
      </w:pPr>
      <w:r>
        <w:t>Niniejsze wyjaśnienia stanowią integralną część Zaproszenia do składania ofert.</w:t>
      </w:r>
    </w:p>
    <w:p w:rsidR="001002C6" w:rsidRDefault="001002C6" w:rsidP="0032211D">
      <w:pPr>
        <w:ind w:left="0" w:right="-142" w:firstLine="0"/>
        <w:jc w:val="both"/>
      </w:pPr>
    </w:p>
    <w:p w:rsidR="001002C6" w:rsidRDefault="001002C6" w:rsidP="0032211D">
      <w:pPr>
        <w:ind w:left="0" w:right="-142" w:firstLine="0"/>
        <w:jc w:val="both"/>
      </w:pPr>
      <w:r>
        <w:t>Jednocześnie zmianie ulega termin składania ofert z</w:t>
      </w:r>
      <w:r w:rsidR="00B45C9E">
        <w:t xml:space="preserve"> 28.12.2017r. </w:t>
      </w:r>
      <w:r>
        <w:t xml:space="preserve">godz. 11:00 na 29.12.2017r. </w:t>
      </w:r>
      <w:r w:rsidR="00B45C9E">
        <w:t xml:space="preserve">godz. 11:00 i termin otwarcia z 28.12.2017r. </w:t>
      </w:r>
      <w:r w:rsidR="00216243">
        <w:t>godz. 11:15 na 29.12.2017r. godz. 11:15.</w:t>
      </w:r>
    </w:p>
    <w:p w:rsidR="000C32C7" w:rsidRDefault="000C32C7" w:rsidP="0032211D">
      <w:pPr>
        <w:ind w:left="0" w:right="-142" w:firstLine="0"/>
        <w:jc w:val="both"/>
      </w:pPr>
    </w:p>
    <w:p w:rsidR="000C32C7" w:rsidRDefault="000C32C7" w:rsidP="0032211D">
      <w:pPr>
        <w:ind w:left="0" w:right="-142" w:firstLine="0"/>
        <w:jc w:val="both"/>
      </w:pPr>
      <w:r>
        <w:t xml:space="preserve">Uwaga: Zamawiający </w:t>
      </w:r>
      <w:r w:rsidR="00BA591C">
        <w:t>wymaga od Wykonawcy oświadczenia, którego wzór stanowi załącznik nr 4.</w:t>
      </w:r>
    </w:p>
    <w:p w:rsidR="00D10DFA" w:rsidRDefault="00D10DFA" w:rsidP="0032211D">
      <w:pPr>
        <w:ind w:left="0" w:right="-142" w:firstLine="0"/>
        <w:jc w:val="both"/>
      </w:pPr>
    </w:p>
    <w:p w:rsidR="00D10DFA" w:rsidRDefault="00D10DFA" w:rsidP="0032211D">
      <w:pPr>
        <w:ind w:left="0" w:right="-14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4DC1">
        <w:tab/>
      </w:r>
      <w:r>
        <w:t xml:space="preserve">       Zatwierdził:</w:t>
      </w:r>
    </w:p>
    <w:p w:rsidR="00D10DFA" w:rsidRPr="00C05DBF" w:rsidRDefault="00D10DFA" w:rsidP="00C05DBF">
      <w:pPr>
        <w:ind w:left="0" w:right="-14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...……………………………..</w:t>
      </w:r>
    </w:p>
    <w:sectPr w:rsidR="00D10DFA" w:rsidRPr="00C05DBF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02D"/>
    <w:multiLevelType w:val="hybridMultilevel"/>
    <w:tmpl w:val="03B6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E52"/>
    <w:multiLevelType w:val="hybridMultilevel"/>
    <w:tmpl w:val="BB80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522"/>
    <w:multiLevelType w:val="hybridMultilevel"/>
    <w:tmpl w:val="EAC64236"/>
    <w:lvl w:ilvl="0" w:tplc="D68A0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58"/>
    <w:rsid w:val="0002342D"/>
    <w:rsid w:val="000548AB"/>
    <w:rsid w:val="0007334F"/>
    <w:rsid w:val="000768A1"/>
    <w:rsid w:val="000A42B8"/>
    <w:rsid w:val="000B6156"/>
    <w:rsid w:val="000C32C7"/>
    <w:rsid w:val="000E2377"/>
    <w:rsid w:val="000F546F"/>
    <w:rsid w:val="001002C6"/>
    <w:rsid w:val="001304C7"/>
    <w:rsid w:val="001633ED"/>
    <w:rsid w:val="00182C01"/>
    <w:rsid w:val="001B22EC"/>
    <w:rsid w:val="00207815"/>
    <w:rsid w:val="00216243"/>
    <w:rsid w:val="002225F4"/>
    <w:rsid w:val="00230A04"/>
    <w:rsid w:val="00235502"/>
    <w:rsid w:val="002461D3"/>
    <w:rsid w:val="002606F7"/>
    <w:rsid w:val="00261F5F"/>
    <w:rsid w:val="0026687F"/>
    <w:rsid w:val="002B6676"/>
    <w:rsid w:val="002F4E06"/>
    <w:rsid w:val="003050DE"/>
    <w:rsid w:val="00317CD1"/>
    <w:rsid w:val="0032211D"/>
    <w:rsid w:val="003469C5"/>
    <w:rsid w:val="003473EC"/>
    <w:rsid w:val="0036060C"/>
    <w:rsid w:val="00397DA4"/>
    <w:rsid w:val="00406682"/>
    <w:rsid w:val="00451360"/>
    <w:rsid w:val="00452236"/>
    <w:rsid w:val="00454B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20805"/>
    <w:rsid w:val="00622C25"/>
    <w:rsid w:val="006711ED"/>
    <w:rsid w:val="0067766D"/>
    <w:rsid w:val="006942EE"/>
    <w:rsid w:val="006B688C"/>
    <w:rsid w:val="006C2D71"/>
    <w:rsid w:val="006E3C6F"/>
    <w:rsid w:val="006F619C"/>
    <w:rsid w:val="00724E8B"/>
    <w:rsid w:val="00767C50"/>
    <w:rsid w:val="007B4A25"/>
    <w:rsid w:val="008172B8"/>
    <w:rsid w:val="00823C42"/>
    <w:rsid w:val="008549B8"/>
    <w:rsid w:val="00856848"/>
    <w:rsid w:val="00860B17"/>
    <w:rsid w:val="0086226D"/>
    <w:rsid w:val="0086629C"/>
    <w:rsid w:val="00874EE4"/>
    <w:rsid w:val="008D5332"/>
    <w:rsid w:val="008E11D1"/>
    <w:rsid w:val="008E39F2"/>
    <w:rsid w:val="00931540"/>
    <w:rsid w:val="00935999"/>
    <w:rsid w:val="00982E8F"/>
    <w:rsid w:val="009A4BDB"/>
    <w:rsid w:val="009B037B"/>
    <w:rsid w:val="009D7163"/>
    <w:rsid w:val="009F1584"/>
    <w:rsid w:val="009F29FA"/>
    <w:rsid w:val="00A85D72"/>
    <w:rsid w:val="00A91CF0"/>
    <w:rsid w:val="00AA4077"/>
    <w:rsid w:val="00AA7F31"/>
    <w:rsid w:val="00AF04C3"/>
    <w:rsid w:val="00B20627"/>
    <w:rsid w:val="00B40E26"/>
    <w:rsid w:val="00B41F62"/>
    <w:rsid w:val="00B45C9E"/>
    <w:rsid w:val="00B834A7"/>
    <w:rsid w:val="00B879C9"/>
    <w:rsid w:val="00BA591C"/>
    <w:rsid w:val="00BC133B"/>
    <w:rsid w:val="00BC783E"/>
    <w:rsid w:val="00BE2D5D"/>
    <w:rsid w:val="00BF2F18"/>
    <w:rsid w:val="00C05DBF"/>
    <w:rsid w:val="00C249DE"/>
    <w:rsid w:val="00C32D48"/>
    <w:rsid w:val="00C53000"/>
    <w:rsid w:val="00C85082"/>
    <w:rsid w:val="00C96826"/>
    <w:rsid w:val="00C97AFD"/>
    <w:rsid w:val="00CA331D"/>
    <w:rsid w:val="00CA4CC4"/>
    <w:rsid w:val="00CC2FE6"/>
    <w:rsid w:val="00CC3A2C"/>
    <w:rsid w:val="00CE34D9"/>
    <w:rsid w:val="00CF36A0"/>
    <w:rsid w:val="00CF4EFA"/>
    <w:rsid w:val="00D10DFA"/>
    <w:rsid w:val="00D2604D"/>
    <w:rsid w:val="00D62970"/>
    <w:rsid w:val="00D648EE"/>
    <w:rsid w:val="00D64DC1"/>
    <w:rsid w:val="00D94E7A"/>
    <w:rsid w:val="00DA2261"/>
    <w:rsid w:val="00DB1E72"/>
    <w:rsid w:val="00DD5F30"/>
    <w:rsid w:val="00DD7705"/>
    <w:rsid w:val="00E37EC5"/>
    <w:rsid w:val="00E46C02"/>
    <w:rsid w:val="00E870FC"/>
    <w:rsid w:val="00EA36AE"/>
    <w:rsid w:val="00EB6E06"/>
    <w:rsid w:val="00F11658"/>
    <w:rsid w:val="00F138C8"/>
    <w:rsid w:val="00F15E5E"/>
    <w:rsid w:val="00F1631B"/>
    <w:rsid w:val="00F1799E"/>
    <w:rsid w:val="00F77B25"/>
    <w:rsid w:val="00FA1EA8"/>
    <w:rsid w:val="00FB0A58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2017-12-20T07:02:00Z</cp:lastPrinted>
  <dcterms:created xsi:type="dcterms:W3CDTF">2017-12-19T06:55:00Z</dcterms:created>
  <dcterms:modified xsi:type="dcterms:W3CDTF">2017-12-27T08:52:00Z</dcterms:modified>
</cp:coreProperties>
</file>